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B0B" w14:textId="1A354979" w:rsidR="00017DBE" w:rsidRDefault="00017DBE" w:rsidP="00B62DE8">
      <w:pPr>
        <w:ind w:left="709"/>
        <w:jc w:val="center"/>
        <w:rPr>
          <w:noProof/>
        </w:rPr>
      </w:pPr>
      <w:r>
        <w:rPr>
          <w:noProof/>
        </w:rPr>
        <w:drawing>
          <wp:inline distT="0" distB="0" distL="0" distR="0" wp14:anchorId="4FF4081F" wp14:editId="5A055907">
            <wp:extent cx="944880" cy="1170305"/>
            <wp:effectExtent l="0" t="0" r="7620" b="0"/>
            <wp:docPr id="630973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B4A43" w14:textId="61F13965" w:rsidR="00017DBE" w:rsidRPr="00017DBE" w:rsidRDefault="00017DBE" w:rsidP="00017DBE">
      <w:pPr>
        <w:jc w:val="center"/>
        <w:rPr>
          <w:b/>
          <w:bCs/>
        </w:rPr>
      </w:pPr>
      <w:r w:rsidRPr="00017DBE">
        <w:rPr>
          <w:b/>
          <w:bCs/>
        </w:rPr>
        <w:t>ESCLARECIMENTO (</w:t>
      </w:r>
      <w:r w:rsidR="00924808">
        <w:rPr>
          <w:b/>
          <w:bCs/>
        </w:rPr>
        <w:t>3</w:t>
      </w:r>
      <w:r w:rsidRPr="00017DBE">
        <w:rPr>
          <w:b/>
          <w:bCs/>
        </w:rPr>
        <w:t>)</w:t>
      </w:r>
    </w:p>
    <w:p w14:paraId="32981158" w14:textId="77777777" w:rsidR="00017DBE" w:rsidRDefault="00017DBE" w:rsidP="00017DBE"/>
    <w:p w14:paraId="7E81CE03" w14:textId="62F13528" w:rsidR="00017DBE" w:rsidRPr="00924808" w:rsidRDefault="00017DBE" w:rsidP="00B62DE8">
      <w:pPr>
        <w:jc w:val="both"/>
        <w:rPr>
          <w:rFonts w:ascii="Bookman Old Style" w:hAnsi="Bookman Old Style" w:cstheme="minorHAnsi"/>
        </w:rPr>
      </w:pPr>
      <w:r w:rsidRPr="00924808">
        <w:rPr>
          <w:rFonts w:ascii="Bookman Old Style" w:hAnsi="Bookman Old Style" w:cstheme="minorHAnsi"/>
        </w:rPr>
        <w:t>Refere-se a solicitação de esclarecimento ao PE 900</w:t>
      </w:r>
      <w:r w:rsidR="003A0BD1" w:rsidRPr="00924808">
        <w:rPr>
          <w:rFonts w:ascii="Bookman Old Style" w:hAnsi="Bookman Old Style" w:cstheme="minorHAnsi"/>
        </w:rPr>
        <w:t>11</w:t>
      </w:r>
      <w:r w:rsidRPr="00924808">
        <w:rPr>
          <w:rFonts w:ascii="Bookman Old Style" w:hAnsi="Bookman Old Style" w:cstheme="minorHAnsi"/>
        </w:rPr>
        <w:t>/2025:</w:t>
      </w:r>
    </w:p>
    <w:p w14:paraId="77782680" w14:textId="77777777" w:rsidR="00924808" w:rsidRPr="00924808" w:rsidRDefault="00924808" w:rsidP="006201F8">
      <w:pPr>
        <w:pStyle w:val="SemEspaamento"/>
        <w:jc w:val="both"/>
        <w:rPr>
          <w:rFonts w:ascii="Bookman Old Style" w:hAnsi="Bookman Old Style"/>
        </w:rPr>
      </w:pPr>
      <w:r w:rsidRPr="00924808">
        <w:rPr>
          <w:rStyle w:val="nfase"/>
          <w:rFonts w:ascii="Bookman Old Style" w:hAnsi="Bookman Old Style" w:cs="Segoe UI"/>
          <w:b/>
          <w:bCs/>
          <w:color w:val="242424"/>
        </w:rPr>
        <w:t>Questionamento 1 – Tecnologia de Entrega dos Enlaces</w:t>
      </w:r>
      <w:r w:rsidRPr="00924808">
        <w:rPr>
          <w:rFonts w:ascii="Bookman Old Style" w:hAnsi="Bookman Old Style"/>
        </w:rPr>
        <w:br/>
        <w:t>Considerando o valor estimado para as unidades remotas, bem como o custo superior previsto para a entrega da rede MPLS, é possível considerar a utilização de rede </w:t>
      </w:r>
      <w:r w:rsidRPr="00924808">
        <w:rPr>
          <w:rStyle w:val="Forte"/>
          <w:rFonts w:ascii="Bookman Old Style" w:hAnsi="Bookman Old Style" w:cs="Segoe UI"/>
          <w:color w:val="242424"/>
        </w:rPr>
        <w:t>GPON</w:t>
      </w:r>
      <w:r w:rsidRPr="00924808">
        <w:rPr>
          <w:rFonts w:ascii="Bookman Old Style" w:hAnsi="Bookman Old Style"/>
        </w:rPr>
        <w:t> para a entrega dos enlaces?</w:t>
      </w:r>
    </w:p>
    <w:p w14:paraId="2478614A" w14:textId="5C941DD1" w:rsidR="006201F8" w:rsidRPr="006201F8" w:rsidRDefault="00924808" w:rsidP="006201F8">
      <w:pPr>
        <w:pStyle w:val="SemEspaamento"/>
        <w:jc w:val="both"/>
        <w:rPr>
          <w:rFonts w:ascii="Bookman Old Style" w:hAnsi="Bookman Old Style"/>
        </w:rPr>
      </w:pPr>
      <w:r w:rsidRPr="00924808">
        <w:rPr>
          <w:rFonts w:ascii="Bookman Old Style" w:hAnsi="Bookman Old Style"/>
          <w:b/>
          <w:bCs/>
        </w:rPr>
        <w:t>RESPOSTA</w:t>
      </w:r>
      <w:r w:rsidRPr="00924808">
        <w:rPr>
          <w:rFonts w:ascii="Bookman Old Style" w:hAnsi="Bookman Old Style"/>
        </w:rPr>
        <w:t>:</w:t>
      </w:r>
      <w:r w:rsidR="006201F8" w:rsidRPr="006201F8">
        <w:t xml:space="preserve"> </w:t>
      </w:r>
      <w:r w:rsidR="006201F8" w:rsidRPr="006201F8">
        <w:rPr>
          <w:rFonts w:ascii="Bookman Old Style" w:hAnsi="Bookman Old Style"/>
        </w:rPr>
        <w:t>A exigência de utilização de rede MPLS aplica-se exclusivamente aos 2 pontos concentradores, que constituem o topo da hierarquia da rede e serão responsáveis pelo gerenciamento centralizado do tráfego e pela integração de todos os pontos.</w:t>
      </w:r>
    </w:p>
    <w:p w14:paraId="704E6BF0" w14:textId="39390C28" w:rsidR="00924808" w:rsidRDefault="006201F8" w:rsidP="006201F8">
      <w:pPr>
        <w:pStyle w:val="SemEspaamento"/>
        <w:jc w:val="both"/>
        <w:rPr>
          <w:rFonts w:ascii="Bookman Old Style" w:hAnsi="Bookman Old Style"/>
        </w:rPr>
      </w:pPr>
      <w:r w:rsidRPr="006201F8">
        <w:rPr>
          <w:rFonts w:ascii="Bookman Old Style" w:hAnsi="Bookman Old Style"/>
        </w:rPr>
        <w:t>Para os pontos remotos, não há obrigatoriedade de entrega via MPLS. Assim, é permitido o uso de tecnologia GPON para a disponibilização dos enlaces, desde que todos os requisitos de desempenho, latência, disponibilidade e SLA definidos no edital sejam integralmente atendidos.</w:t>
      </w:r>
    </w:p>
    <w:p w14:paraId="2C5A7D8F" w14:textId="77777777" w:rsidR="00924808" w:rsidRPr="00924808" w:rsidRDefault="00924808" w:rsidP="006201F8">
      <w:pPr>
        <w:pStyle w:val="SemEspaamento"/>
        <w:jc w:val="both"/>
        <w:rPr>
          <w:rFonts w:ascii="Bookman Old Style" w:hAnsi="Bookman Old Style"/>
        </w:rPr>
      </w:pPr>
    </w:p>
    <w:p w14:paraId="5769EBB1" w14:textId="77777777" w:rsidR="00924808" w:rsidRDefault="00924808" w:rsidP="006201F8">
      <w:pPr>
        <w:pStyle w:val="SemEspaamento"/>
        <w:jc w:val="both"/>
        <w:rPr>
          <w:rFonts w:ascii="Bookman Old Style" w:hAnsi="Bookman Old Style"/>
        </w:rPr>
      </w:pPr>
      <w:r w:rsidRPr="00924808">
        <w:rPr>
          <w:rStyle w:val="nfase"/>
          <w:rFonts w:ascii="Bookman Old Style" w:hAnsi="Bookman Old Style" w:cs="Segoe UI"/>
          <w:b/>
          <w:bCs/>
          <w:color w:val="242424"/>
        </w:rPr>
        <w:t>Questionamento 2 – Certificação/Autorização ANATEL</w:t>
      </w:r>
      <w:r w:rsidRPr="00924808">
        <w:rPr>
          <w:rFonts w:ascii="Bookman Old Style" w:hAnsi="Bookman Old Style"/>
        </w:rPr>
        <w:br/>
        <w:t>O item </w:t>
      </w:r>
      <w:r w:rsidRPr="00924808">
        <w:rPr>
          <w:rStyle w:val="Forte"/>
          <w:rFonts w:ascii="Bookman Old Style" w:hAnsi="Bookman Old Style" w:cs="Segoe UI"/>
          <w:color w:val="242424"/>
        </w:rPr>
        <w:t>9.41.1</w:t>
      </w:r>
      <w:r w:rsidRPr="00924808">
        <w:rPr>
          <w:rFonts w:ascii="Bookman Old Style" w:hAnsi="Bookman Old Style"/>
        </w:rPr>
        <w:t> do Termo de Referência solicita certificações da ANATEL que comprovem a habilitação da licitante para atuar no setor de Telecomunicações. Entendemos que a </w:t>
      </w:r>
      <w:r w:rsidRPr="00924808">
        <w:rPr>
          <w:rStyle w:val="Forte"/>
          <w:rFonts w:ascii="Bookman Old Style" w:hAnsi="Bookman Old Style" w:cs="Segoe UI"/>
          <w:color w:val="242424"/>
        </w:rPr>
        <w:t>Autorização SCM</w:t>
      </w:r>
      <w:r w:rsidRPr="00924808">
        <w:rPr>
          <w:rFonts w:ascii="Bookman Old Style" w:hAnsi="Bookman Old Style"/>
        </w:rPr>
        <w:t> supre esta exigência. Nosso entendimento está correto?</w:t>
      </w:r>
    </w:p>
    <w:p w14:paraId="35D0820B" w14:textId="44460090" w:rsidR="006201F8" w:rsidRPr="006201F8" w:rsidRDefault="00924808" w:rsidP="006201F8">
      <w:pPr>
        <w:pStyle w:val="SemEspaamento"/>
        <w:jc w:val="both"/>
        <w:rPr>
          <w:rFonts w:ascii="Bookman Old Style" w:hAnsi="Bookman Old Style"/>
        </w:rPr>
      </w:pPr>
      <w:r w:rsidRPr="00924808">
        <w:rPr>
          <w:rFonts w:ascii="Bookman Old Style" w:hAnsi="Bookman Old Style"/>
          <w:b/>
          <w:bCs/>
        </w:rPr>
        <w:t>RESPOSTA</w:t>
      </w:r>
      <w:r>
        <w:rPr>
          <w:rFonts w:ascii="Bookman Old Style" w:hAnsi="Bookman Old Style"/>
        </w:rPr>
        <w:t>:</w:t>
      </w:r>
      <w:r w:rsidR="006201F8" w:rsidRPr="006201F8">
        <w:t xml:space="preserve"> </w:t>
      </w:r>
      <w:r w:rsidR="006201F8" w:rsidRPr="006201F8">
        <w:rPr>
          <w:rFonts w:ascii="Bookman Old Style" w:hAnsi="Bookman Old Style"/>
        </w:rPr>
        <w:t>Sim. O entendimento está correto.</w:t>
      </w:r>
    </w:p>
    <w:p w14:paraId="6EAF6762" w14:textId="1B19B51E" w:rsidR="00924808" w:rsidRDefault="006201F8" w:rsidP="006201F8">
      <w:pPr>
        <w:pStyle w:val="SemEspaamento"/>
        <w:jc w:val="both"/>
        <w:rPr>
          <w:rFonts w:ascii="Bookman Old Style" w:hAnsi="Bookman Old Style"/>
        </w:rPr>
      </w:pPr>
      <w:r w:rsidRPr="006201F8">
        <w:rPr>
          <w:rFonts w:ascii="Bookman Old Style" w:hAnsi="Bookman Old Style"/>
        </w:rPr>
        <w:t>A Autorização SCM (Serviço de Comunicação Multimídia) supre integralmente a exigência descrita no item 9.41.1 do Termo de Referência, uma vez que comprova a habilitação regulatória da licitante para atuar no setor de telecomunicações, em conformidade com as normas da ANATEL.</w:t>
      </w:r>
    </w:p>
    <w:p w14:paraId="768DCF62" w14:textId="77777777" w:rsidR="00924808" w:rsidRPr="00924808" w:rsidRDefault="00924808" w:rsidP="006201F8">
      <w:pPr>
        <w:pStyle w:val="SemEspaamento"/>
        <w:jc w:val="both"/>
        <w:rPr>
          <w:rFonts w:ascii="Bookman Old Style" w:hAnsi="Bookman Old Style"/>
        </w:rPr>
      </w:pPr>
    </w:p>
    <w:p w14:paraId="1583D46C" w14:textId="77777777" w:rsidR="00924808" w:rsidRDefault="00924808" w:rsidP="006201F8">
      <w:pPr>
        <w:pStyle w:val="SemEspaamento"/>
        <w:jc w:val="both"/>
        <w:rPr>
          <w:rFonts w:ascii="Bookman Old Style" w:hAnsi="Bookman Old Style"/>
        </w:rPr>
      </w:pPr>
      <w:r w:rsidRPr="00924808">
        <w:rPr>
          <w:rStyle w:val="nfase"/>
          <w:rFonts w:ascii="Bookman Old Style" w:hAnsi="Bookman Old Style" w:cs="Segoe UI"/>
          <w:b/>
          <w:bCs/>
          <w:color w:val="242424"/>
        </w:rPr>
        <w:t>Questionamento 3 – Planilha de Composição de Custos</w:t>
      </w:r>
      <w:r w:rsidRPr="00924808">
        <w:rPr>
          <w:rFonts w:ascii="Bookman Old Style" w:hAnsi="Bookman Old Style"/>
        </w:rPr>
        <w:br/>
        <w:t>Entendemos que a apresentação da planilha de composição de custos será exigida apenas nos casos em que houver necessidade de comprovação de exequibilidade, mediante solicitação formal da Administração. Procede tal interpretação?</w:t>
      </w:r>
    </w:p>
    <w:p w14:paraId="49D759B7" w14:textId="02971A04" w:rsidR="00924808" w:rsidRPr="00924808" w:rsidRDefault="00924808" w:rsidP="006201F8">
      <w:pPr>
        <w:pStyle w:val="SemEspaamento"/>
        <w:jc w:val="both"/>
        <w:rPr>
          <w:rFonts w:ascii="Bookman Old Style" w:hAnsi="Bookman Old Style"/>
        </w:rPr>
      </w:pPr>
      <w:r w:rsidRPr="00924808">
        <w:rPr>
          <w:rFonts w:ascii="Bookman Old Style" w:hAnsi="Bookman Old Style"/>
          <w:b/>
          <w:bCs/>
        </w:rPr>
        <w:t>RESPOSTA</w:t>
      </w:r>
      <w:r>
        <w:rPr>
          <w:rFonts w:ascii="Bookman Old Style" w:hAnsi="Bookman Old Style"/>
        </w:rPr>
        <w:t>:</w:t>
      </w:r>
      <w:r w:rsidR="006201F8" w:rsidRPr="006201F8">
        <w:t xml:space="preserve"> </w:t>
      </w:r>
      <w:r w:rsidR="006201F8" w:rsidRPr="006201F8">
        <w:rPr>
          <w:rFonts w:ascii="Bookman Old Style" w:hAnsi="Bookman Old Style"/>
        </w:rPr>
        <w:t>Sim, o entendimento está correto.</w:t>
      </w:r>
    </w:p>
    <w:p w14:paraId="13718D6D" w14:textId="77777777" w:rsidR="00924808" w:rsidRDefault="00924808" w:rsidP="006201F8">
      <w:pPr>
        <w:pStyle w:val="SemEspaamento"/>
        <w:jc w:val="both"/>
        <w:rPr>
          <w:rFonts w:ascii="Bookman Old Style" w:hAnsi="Bookman Old Style" w:cstheme="minorHAnsi"/>
          <w:color w:val="242424"/>
        </w:rPr>
      </w:pPr>
    </w:p>
    <w:p w14:paraId="36904F69" w14:textId="77777777" w:rsidR="00924808" w:rsidRDefault="00924808" w:rsidP="00B62DE8">
      <w:pPr>
        <w:pStyle w:val="SemEspaamento"/>
        <w:jc w:val="both"/>
        <w:rPr>
          <w:rFonts w:ascii="Bookman Old Style" w:hAnsi="Bookman Old Style" w:cstheme="minorHAnsi"/>
          <w:color w:val="242424"/>
        </w:rPr>
      </w:pPr>
    </w:p>
    <w:p w14:paraId="03D28E8D" w14:textId="77777777" w:rsidR="00924808" w:rsidRDefault="00924808" w:rsidP="00B62DE8">
      <w:pPr>
        <w:pStyle w:val="SemEspaamento"/>
        <w:jc w:val="both"/>
        <w:rPr>
          <w:rFonts w:ascii="Bookman Old Style" w:hAnsi="Bookman Old Style" w:cstheme="minorHAnsi"/>
          <w:color w:val="242424"/>
        </w:rPr>
      </w:pPr>
    </w:p>
    <w:p w14:paraId="3608BF6C" w14:textId="63448D59" w:rsidR="00B62DE8" w:rsidRPr="00924808" w:rsidRDefault="00B62DE8" w:rsidP="00B62DE8">
      <w:pPr>
        <w:pStyle w:val="SemEspaamento"/>
        <w:jc w:val="both"/>
        <w:rPr>
          <w:rFonts w:ascii="Bookman Old Style" w:hAnsi="Bookman Old Style" w:cstheme="minorHAnsi"/>
          <w:color w:val="242424"/>
        </w:rPr>
      </w:pPr>
      <w:r w:rsidRPr="00924808">
        <w:rPr>
          <w:rFonts w:ascii="Bookman Old Style" w:hAnsi="Bookman Old Style" w:cstheme="minorHAnsi"/>
          <w:color w:val="242424"/>
        </w:rPr>
        <w:t xml:space="preserve">Niterói, </w:t>
      </w:r>
      <w:r w:rsidR="00960501" w:rsidRPr="00924808">
        <w:rPr>
          <w:rFonts w:ascii="Bookman Old Style" w:hAnsi="Bookman Old Style" w:cstheme="minorHAnsi"/>
          <w:color w:val="242424"/>
        </w:rPr>
        <w:t>2</w:t>
      </w:r>
      <w:r w:rsidR="00924808">
        <w:rPr>
          <w:rFonts w:ascii="Bookman Old Style" w:hAnsi="Bookman Old Style" w:cstheme="minorHAnsi"/>
          <w:color w:val="242424"/>
        </w:rPr>
        <w:t>4</w:t>
      </w:r>
      <w:r w:rsidRPr="00924808">
        <w:rPr>
          <w:rFonts w:ascii="Bookman Old Style" w:hAnsi="Bookman Old Style" w:cstheme="minorHAnsi"/>
          <w:color w:val="242424"/>
        </w:rPr>
        <w:t>/11/2025</w:t>
      </w:r>
    </w:p>
    <w:p w14:paraId="2776BF34" w14:textId="77777777" w:rsidR="00B62DE8" w:rsidRPr="00924808" w:rsidRDefault="00B62DE8" w:rsidP="00B62DE8">
      <w:pPr>
        <w:pStyle w:val="SemEspaamento"/>
        <w:jc w:val="both"/>
        <w:rPr>
          <w:rFonts w:ascii="Bookman Old Style" w:hAnsi="Bookman Old Style" w:cstheme="minorHAnsi"/>
          <w:color w:val="242424"/>
        </w:rPr>
      </w:pPr>
    </w:p>
    <w:p w14:paraId="625D0273" w14:textId="08A47059" w:rsidR="00497D32" w:rsidRPr="00924808" w:rsidRDefault="00D02D1B" w:rsidP="00B62DE8">
      <w:pPr>
        <w:pStyle w:val="SemEspaamento"/>
        <w:jc w:val="both"/>
        <w:rPr>
          <w:rFonts w:ascii="Bookman Old Style" w:hAnsi="Bookman Old Style" w:cstheme="minorHAnsi"/>
        </w:rPr>
      </w:pPr>
      <w:r w:rsidRPr="00924808">
        <w:rPr>
          <w:rFonts w:ascii="Bookman Old Style" w:hAnsi="Bookman Old Style" w:cstheme="minorHAnsi"/>
          <w:color w:val="242424"/>
        </w:rPr>
        <w:t xml:space="preserve">Secretaria Municipal de </w:t>
      </w:r>
      <w:r w:rsidR="00B62DE8" w:rsidRPr="00924808">
        <w:rPr>
          <w:rFonts w:ascii="Bookman Old Style" w:hAnsi="Bookman Old Style" w:cstheme="minorHAnsi"/>
          <w:color w:val="242424"/>
        </w:rPr>
        <w:t>Ordem Pública</w:t>
      </w:r>
    </w:p>
    <w:sectPr w:rsidR="00497D32" w:rsidRPr="00924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716D"/>
    <w:multiLevelType w:val="multilevel"/>
    <w:tmpl w:val="16647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44410"/>
    <w:multiLevelType w:val="hybridMultilevel"/>
    <w:tmpl w:val="13DC52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72C4F"/>
    <w:multiLevelType w:val="multilevel"/>
    <w:tmpl w:val="D8F27A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ptos" w:eastAsia="Times New Roman" w:hAnsi="Aptos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489969">
    <w:abstractNumId w:val="2"/>
  </w:num>
  <w:num w:numId="2" w16cid:durableId="1503356428">
    <w:abstractNumId w:val="0"/>
  </w:num>
  <w:num w:numId="3" w16cid:durableId="42422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E"/>
    <w:rsid w:val="000003E9"/>
    <w:rsid w:val="00017DBE"/>
    <w:rsid w:val="000800BF"/>
    <w:rsid w:val="001671B1"/>
    <w:rsid w:val="00345571"/>
    <w:rsid w:val="003A0BD1"/>
    <w:rsid w:val="003F7553"/>
    <w:rsid w:val="00497D32"/>
    <w:rsid w:val="005B1F66"/>
    <w:rsid w:val="006201F8"/>
    <w:rsid w:val="008662E7"/>
    <w:rsid w:val="00924808"/>
    <w:rsid w:val="00960501"/>
    <w:rsid w:val="00B46324"/>
    <w:rsid w:val="00B62DE8"/>
    <w:rsid w:val="00D02D1B"/>
    <w:rsid w:val="00FC7EEB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709"/>
  <w15:chartTrackingRefBased/>
  <w15:docId w15:val="{7C876A51-C62B-4756-8C81-EF54E4D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7D32"/>
    <w:rPr>
      <w:b/>
      <w:bCs/>
    </w:rPr>
  </w:style>
  <w:style w:type="character" w:styleId="nfase">
    <w:name w:val="Emphasis"/>
    <w:basedOn w:val="Fontepargpadro"/>
    <w:uiPriority w:val="20"/>
    <w:qFormat/>
    <w:rsid w:val="00497D32"/>
    <w:rPr>
      <w:i/>
      <w:iCs/>
    </w:rPr>
  </w:style>
  <w:style w:type="paragraph" w:styleId="SemEspaamento">
    <w:name w:val="No Spacing"/>
    <w:uiPriority w:val="1"/>
    <w:qFormat/>
    <w:rsid w:val="00D0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Concyr Formiga Bernardes</cp:lastModifiedBy>
  <cp:revision>3</cp:revision>
  <cp:lastPrinted>2025-11-24T13:36:00Z</cp:lastPrinted>
  <dcterms:created xsi:type="dcterms:W3CDTF">2025-11-24T15:49:00Z</dcterms:created>
  <dcterms:modified xsi:type="dcterms:W3CDTF">2025-11-24T15:51:00Z</dcterms:modified>
</cp:coreProperties>
</file>